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8D1" w:rsidRPr="00225A5B" w:rsidRDefault="00A058D1" w:rsidP="00463E2E">
      <w:pPr>
        <w:pStyle w:val="Tablecaption"/>
        <w:spacing w:before="240" w:after="240"/>
      </w:pPr>
      <w:r w:rsidRPr="00225A5B">
        <w:t>S</w:t>
      </w:r>
      <w:r w:rsidR="009927C3" w:rsidRPr="00225A5B">
        <w:t xml:space="preserve">upplementary </w:t>
      </w:r>
      <w:r w:rsidR="009927C3">
        <w:t>Table</w:t>
      </w:r>
      <w:r w:rsidRPr="00225A5B">
        <w:t xml:space="preserve"> 1</w:t>
      </w:r>
      <w:r w:rsidR="009927C3">
        <w:t>.</w:t>
      </w:r>
      <w:r w:rsidRPr="00225A5B">
        <w:t xml:space="preserve"> PubMed Search Strategy</w:t>
      </w:r>
      <w:r w:rsidR="00DA428E">
        <w:t>.</w:t>
      </w:r>
    </w:p>
    <w:tbl>
      <w:tblPr>
        <w:tblStyle w:val="a7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498"/>
      </w:tblGrid>
      <w:tr w:rsidR="00A058D1" w:rsidRPr="00727C75" w:rsidTr="00F45BFB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:rsidR="00A058D1" w:rsidRPr="00727C75" w:rsidRDefault="00A058D1" w:rsidP="00F33A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727C75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Date</w:t>
            </w:r>
          </w:p>
        </w:tc>
        <w:tc>
          <w:tcPr>
            <w:tcW w:w="8498" w:type="dxa"/>
            <w:tcBorders>
              <w:top w:val="single" w:sz="4" w:space="0" w:color="auto"/>
              <w:bottom w:val="single" w:sz="4" w:space="0" w:color="auto"/>
            </w:tcBorders>
          </w:tcPr>
          <w:p w:rsidR="00A058D1" w:rsidRPr="00727C75" w:rsidRDefault="00A058D1" w:rsidP="00F33A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727C75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01.06.2024 – 10.06.2024</w:t>
            </w:r>
          </w:p>
        </w:tc>
      </w:tr>
      <w:tr w:rsidR="00A058D1" w:rsidRPr="00727C75" w:rsidTr="00F45BFB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:rsidR="00A058D1" w:rsidRPr="00727C75" w:rsidRDefault="00A058D1" w:rsidP="00F33A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727C75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Search Strategy</w:t>
            </w:r>
          </w:p>
        </w:tc>
        <w:tc>
          <w:tcPr>
            <w:tcW w:w="8498" w:type="dxa"/>
            <w:tcBorders>
              <w:top w:val="single" w:sz="4" w:space="0" w:color="auto"/>
              <w:bottom w:val="single" w:sz="4" w:space="0" w:color="auto"/>
            </w:tcBorders>
          </w:tcPr>
          <w:p w:rsidR="00A058D1" w:rsidRPr="00727C75" w:rsidRDefault="00A058D1" w:rsidP="00F33A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727C75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(("postpartum haemorrhage"[MeSH Terms] OR ("postpartum"[All Fields] AND "haemorrhage"[All Fields] AND "experiences"[All Fields]) OR "postpartum haemorrhage experiences"[All Fields]) AND ("risk factors"[MeSH Terms] OR ("risk"[All Fields] AND ("factors"[All Fields] OR ("determinants"[All Fields] AND ("correlations"[All Fields] AND "factors"[All Fields] OR "association"[All Fields]) AND ("magnitude"[All Fields] OR ("prevalence"[All Fields] OR ("incidence"[All Fields] AND ("postpartum women"[Subheading] OR ("postpartum"[All Fields] AND "women"[All Fields] AND ("africa south of the sahara"[MeSH Terms] OR ("africa"[All Fields] AND "south"[All Fields] AND "sahara"[All Fields]) OR "africa south of the sahara"[All Fields] OR ("sub"[All Fields] AND "saharan"[All Fields] AND "africa"[All Fields]) OR "Saharan africa"[All Fields]) AND "nigeria"[All Fields] OR "uganda"[All Fields] OR "south africa"[All Fields] OR "cameroon"[All Fields] OR "ghana"[All Fields] OR "sudan"[All Fields] OR "mozambique"[All Fields] OR "senegal"[All Fields] OR "kenya"[All Fields] OR "malawi"[All Fields] OR "tanzania"[All Fields] OR "zimbabwe"[All Fields] OR "zambia"[All Fields] OR "togo"[All Fields] OR "burundi"[All Fields] OR "mauritius"[All Fields] OR "angola"[All Fields] OR "mali"[All Fields] OR "ethiopia"[All Fields] OR "rwanda"[All Fields] OR "sierra leone"[All Fields] OR "liberia"[All Fields] OR "chad"[All Fields] OR "niger"[All Fields] OR "namibia"[All Fields] OR "cote d’ivoire"[All Fields] OR "south sudan"[All Fields] OR "botswana"[All Fields] OR "democratic republic of congo"[All Fields] OR "somalia"[All Fields] OR "benin"[All Fields] OR "burkina faso"[All Fields] OR "zambia"[All Fields] OR "equatorial guinea"[All Fields] OR "gabon"[All Fields] OR "guinea"[All Fields] OR "guinea-bissau"[All Fields] OR "lesotho"[All Fields] OR "eswatini"[All Fields] OR "the gambia"[All Fields] OR "eritrea"[All Fields] OR "madagascar"[All Fields] OR "mauritania"[All Fields] OR "seychelles"[All Fields] OR "central african republic"[All Fields] AND ("2013/01/01"[PubDate] : "2023/12/31"[PubDate])</w:t>
            </w:r>
          </w:p>
        </w:tc>
      </w:tr>
      <w:tr w:rsidR="00A058D1" w:rsidRPr="00727C75" w:rsidTr="00F45BFB">
        <w:trPr>
          <w:jc w:val="center"/>
        </w:trPr>
        <w:tc>
          <w:tcPr>
            <w:tcW w:w="1696" w:type="dxa"/>
            <w:tcBorders>
              <w:top w:val="single" w:sz="4" w:space="0" w:color="auto"/>
            </w:tcBorders>
          </w:tcPr>
          <w:p w:rsidR="00A058D1" w:rsidRPr="00727C75" w:rsidRDefault="00A058D1" w:rsidP="00F33A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727C75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Number retrieved</w:t>
            </w:r>
          </w:p>
        </w:tc>
        <w:tc>
          <w:tcPr>
            <w:tcW w:w="8498" w:type="dxa"/>
            <w:tcBorders>
              <w:top w:val="single" w:sz="4" w:space="0" w:color="auto"/>
            </w:tcBorders>
          </w:tcPr>
          <w:p w:rsidR="00A058D1" w:rsidRPr="00727C75" w:rsidRDefault="00A058D1" w:rsidP="00F33A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727C75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115</w:t>
            </w:r>
          </w:p>
        </w:tc>
      </w:tr>
    </w:tbl>
    <w:p w:rsidR="00A058D1" w:rsidRDefault="00A058D1" w:rsidP="00340871">
      <w:pPr>
        <w:pStyle w:val="Tablefooter"/>
      </w:pPr>
    </w:p>
    <w:p w:rsidR="00727C75" w:rsidRPr="00727C75" w:rsidRDefault="00727C75" w:rsidP="00727C75">
      <w:pPr>
        <w:rPr>
          <w:lang w:val="en-US" w:eastAsia="de-DE" w:bidi="en-US"/>
        </w:rPr>
      </w:pPr>
    </w:p>
    <w:p w:rsidR="00F12274" w:rsidRDefault="00F12274" w:rsidP="00727C75">
      <w:pPr>
        <w:pStyle w:val="Tablecaption"/>
        <w:spacing w:before="240" w:after="240"/>
      </w:pPr>
      <w:r>
        <w:br w:type="page"/>
      </w:r>
    </w:p>
    <w:p w:rsidR="00727C75" w:rsidRPr="00225A5B" w:rsidRDefault="00BC2D3F" w:rsidP="00727C75">
      <w:pPr>
        <w:pStyle w:val="Tablecaption"/>
        <w:spacing w:before="240" w:after="240"/>
      </w:pPr>
      <w:r w:rsidRPr="00225A5B">
        <w:lastRenderedPageBreak/>
        <w:t xml:space="preserve">Supplementary </w:t>
      </w:r>
      <w:r>
        <w:t>Table</w:t>
      </w:r>
      <w:r w:rsidR="00727C75" w:rsidRPr="00225A5B">
        <w:t xml:space="preserve"> </w:t>
      </w:r>
      <w:r w:rsidR="00727C75" w:rsidRPr="00225A5B">
        <w:t>2</w:t>
      </w:r>
      <w:r>
        <w:t>.</w:t>
      </w:r>
      <w:r w:rsidR="00727C75" w:rsidRPr="00225A5B">
        <w:t xml:space="preserve"> Q</w:t>
      </w:r>
      <w:r w:rsidR="00EB13F3" w:rsidRPr="00225A5B">
        <w:t>uality Appraisal Result</w:t>
      </w:r>
      <w:r w:rsidR="00D20B6B">
        <w:t>s</w:t>
      </w:r>
      <w:r w:rsidR="00727C75">
        <w:t>.</w:t>
      </w:r>
    </w:p>
    <w:tbl>
      <w:tblPr>
        <w:tblStyle w:val="a7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8"/>
        <w:gridCol w:w="1497"/>
        <w:gridCol w:w="1378"/>
        <w:gridCol w:w="2069"/>
        <w:gridCol w:w="1392"/>
      </w:tblGrid>
      <w:tr w:rsidR="009E4FD0" w:rsidRPr="00F45BFB" w:rsidTr="009E4FD0">
        <w:trPr>
          <w:jc w:val="center"/>
        </w:trPr>
        <w:tc>
          <w:tcPr>
            <w:tcW w:w="1895" w:type="pct"/>
            <w:tcBorders>
              <w:top w:val="single" w:sz="4" w:space="0" w:color="auto"/>
              <w:bottom w:val="single" w:sz="4" w:space="0" w:color="auto"/>
            </w:tcBorders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First author, Publication year</w:t>
            </w:r>
          </w:p>
        </w:tc>
        <w:tc>
          <w:tcPr>
            <w:tcW w:w="733" w:type="pct"/>
            <w:tcBorders>
              <w:top w:val="single" w:sz="4" w:space="0" w:color="auto"/>
              <w:bottom w:val="single" w:sz="4" w:space="0" w:color="auto"/>
            </w:tcBorders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Reference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Selection</w:t>
            </w:r>
          </w:p>
        </w:tc>
        <w:tc>
          <w:tcPr>
            <w:tcW w:w="1014" w:type="pct"/>
            <w:tcBorders>
              <w:top w:val="single" w:sz="4" w:space="0" w:color="auto"/>
              <w:bottom w:val="single" w:sz="4" w:space="0" w:color="auto"/>
            </w:tcBorders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Comparability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Outcome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  <w:tcBorders>
              <w:top w:val="single" w:sz="4" w:space="0" w:color="auto"/>
            </w:tcBorders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Amanuel T., 2021</w:t>
            </w:r>
          </w:p>
        </w:tc>
        <w:tc>
          <w:tcPr>
            <w:tcW w:w="733" w:type="pct"/>
            <w:tcBorders>
              <w:top w:val="single" w:sz="4" w:space="0" w:color="auto"/>
            </w:tcBorders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(30)</w:t>
            </w:r>
          </w:p>
        </w:tc>
        <w:tc>
          <w:tcPr>
            <w:tcW w:w="675" w:type="pct"/>
            <w:tcBorders>
              <w:top w:val="single" w:sz="4" w:space="0" w:color="auto"/>
            </w:tcBorders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  <w:tcBorders>
              <w:top w:val="single" w:sz="4" w:space="0" w:color="auto"/>
            </w:tcBorders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</w:t>
            </w:r>
          </w:p>
        </w:tc>
        <w:tc>
          <w:tcPr>
            <w:tcW w:w="682" w:type="pct"/>
            <w:tcBorders>
              <w:top w:val="single" w:sz="4" w:space="0" w:color="auto"/>
            </w:tcBorders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Mesfin S., 2021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(31)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Habitamu D., 2019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(32)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Zenebe GA., 2023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(33)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Gebretsadik A., 2021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(34)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Tiruneh B., 2022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(35)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Zewdu T., 2023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(36)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Muluye G., 2023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(37)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Dagne AH., 2022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(38)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Kebede BA., 2019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(39)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Green KI., 2015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(25)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Allagoa DO., 2021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(26)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Lamina MA., 2015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(40)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Onyema OA., 2015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(27)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Takang WA., 2022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(41)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Nana TN., 2021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(42)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Halle-Ekane, G.E., 2016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(43)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Lancaster L., 2020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(44)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Glenzer MM., 2023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(45)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Bazirete O., 2022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(46)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Ambounda NL., 2021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(47)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Ngwenya S., 2016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(48)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Ujjiga TT., 2014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(49)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Valdes V., 2018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(28)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Clarke-Deelder E., 2023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(29)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</w:tr>
      <w:tr w:rsidR="009E4FD0" w:rsidRPr="00F45BFB" w:rsidTr="009E4FD0">
        <w:trPr>
          <w:jc w:val="center"/>
        </w:trPr>
        <w:tc>
          <w:tcPr>
            <w:tcW w:w="1895" w:type="pct"/>
          </w:tcPr>
          <w:p w:rsidR="00727C75" w:rsidRPr="00F45BFB" w:rsidRDefault="00727C75" w:rsidP="00FD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Ononge, S., 2016</w:t>
            </w:r>
          </w:p>
        </w:tc>
        <w:tc>
          <w:tcPr>
            <w:tcW w:w="733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(50)</w:t>
            </w:r>
          </w:p>
        </w:tc>
        <w:tc>
          <w:tcPr>
            <w:tcW w:w="675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xxxx</w:t>
            </w:r>
          </w:p>
        </w:tc>
        <w:tc>
          <w:tcPr>
            <w:tcW w:w="1014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</w:t>
            </w:r>
          </w:p>
        </w:tc>
        <w:tc>
          <w:tcPr>
            <w:tcW w:w="682" w:type="pct"/>
          </w:tcPr>
          <w:p w:rsidR="00727C75" w:rsidRPr="00F45BFB" w:rsidRDefault="00727C75" w:rsidP="009E4F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45BF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xxx</w:t>
            </w:r>
          </w:p>
        </w:tc>
      </w:tr>
    </w:tbl>
    <w:p w:rsidR="00340871" w:rsidRDefault="00340871" w:rsidP="009E4FD0">
      <w:pPr>
        <w:pStyle w:val="Tablefooter"/>
      </w:pPr>
    </w:p>
    <w:p w:rsidR="009E4FD0" w:rsidRPr="00340871" w:rsidRDefault="009E4FD0" w:rsidP="009E4FD0">
      <w:pPr>
        <w:pStyle w:val="Tablefooter"/>
      </w:pPr>
    </w:p>
    <w:p w:rsidR="00A058D1" w:rsidRPr="00225A5B" w:rsidRDefault="00A058D1" w:rsidP="009E4FD0">
      <w:pPr>
        <w:pStyle w:val="Tablefooter"/>
        <w:rPr>
          <w:b/>
          <w:bCs/>
          <w:color w:val="0D0D0D" w:themeColor="text1" w:themeTint="F2"/>
          <w:sz w:val="24"/>
          <w:szCs w:val="24"/>
          <w:lang w:val="en-ZA"/>
        </w:rPr>
        <w:sectPr w:rsidR="00A058D1" w:rsidRPr="00225A5B" w:rsidSect="00F33A9C">
          <w:headerReference w:type="default" r:id="rId8"/>
          <w:footerReference w:type="default" r:id="rId9"/>
          <w:pgSz w:w="11906" w:h="16838"/>
          <w:pgMar w:top="1134" w:right="851" w:bottom="1134" w:left="851" w:header="283" w:footer="1134" w:gutter="0"/>
          <w:cols w:space="708"/>
          <w:docGrid w:linePitch="360"/>
        </w:sectPr>
      </w:pPr>
    </w:p>
    <w:p w:rsidR="00A058D1" w:rsidRPr="00225A5B" w:rsidRDefault="00CB1B64" w:rsidP="009E4FD0">
      <w:pPr>
        <w:pStyle w:val="Tablecaption"/>
        <w:spacing w:before="312" w:after="312"/>
      </w:pPr>
      <w:r w:rsidRPr="00225A5B">
        <w:lastRenderedPageBreak/>
        <w:t xml:space="preserve">Supplementary </w:t>
      </w:r>
      <w:r>
        <w:t>Table</w:t>
      </w:r>
      <w:r w:rsidRPr="00225A5B">
        <w:t xml:space="preserve"> </w:t>
      </w:r>
      <w:r w:rsidR="00A058D1" w:rsidRPr="00225A5B">
        <w:t>3</w:t>
      </w:r>
      <w:r w:rsidR="00A266CD">
        <w:t>.</w:t>
      </w:r>
      <w:r w:rsidR="00A058D1" w:rsidRPr="00225A5B">
        <w:t xml:space="preserve"> Risk factors for PPH from primary studies</w:t>
      </w:r>
      <w:r w:rsidR="009E4FD0">
        <w:t>.</w:t>
      </w:r>
    </w:p>
    <w:tbl>
      <w:tblPr>
        <w:tblStyle w:val="a7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1220"/>
        <w:gridCol w:w="4928"/>
        <w:gridCol w:w="584"/>
        <w:gridCol w:w="584"/>
        <w:gridCol w:w="4668"/>
      </w:tblGrid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First author, Publication year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Reference</w:t>
            </w:r>
          </w:p>
        </w:tc>
        <w:tc>
          <w:tcPr>
            <w:tcW w:w="1628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Variables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PPH</w:t>
            </w:r>
          </w:p>
        </w:tc>
        <w:tc>
          <w:tcPr>
            <w:tcW w:w="1542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Crude Odds Ratio (95% Confidence Interval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93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 xml:space="preserve">Yes </w:t>
            </w:r>
          </w:p>
        </w:tc>
        <w:tc>
          <w:tcPr>
            <w:tcW w:w="193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No</w:t>
            </w:r>
          </w:p>
        </w:tc>
        <w:tc>
          <w:tcPr>
            <w:tcW w:w="154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Amanuel T., 2021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(30)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Age group in years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&lt;20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66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1.2 (0.4 – 3.3)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20-34 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174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≥35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30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4.0 (1.5 – 10.2)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History of antenatal care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No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44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3.8 (1.7 -8.7)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Yes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226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Previous history of PPH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Yes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40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3.7 (1.6 – 8.5)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No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230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Mode of delivery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Instrumental delivery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22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4.5 (1.7 – 12.7)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Caesarean Section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4.2 (1.3 – 12.9)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Spontaneous vaginal delivery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231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Duration of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≥24 hours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40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7.6 (3.3 – 17.4)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&lt;24 hours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230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Episiotomy performed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Yes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45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3.7 (1.69 – 8.4)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No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225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History of current uterine atony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Yes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5.6 (2.1 – 15.4)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No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255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Mesfin S., 2021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(31)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Residence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Rural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46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233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1.74 (1.09 – 2.77)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Urban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37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326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History of PPH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7.27 (3.94 – 13.42)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60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531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ANC Follow-up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Yes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41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451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42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108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4.27 (2.65 – 6.91)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Age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20-34 years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43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420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≥35 years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39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7.33 (4.35 – 12.32)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Gravidity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185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2-4</w:t>
            </w:r>
          </w:p>
        </w:tc>
        <w:tc>
          <w:tcPr>
            <w:tcW w:w="193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33</w:t>
            </w:r>
          </w:p>
        </w:tc>
        <w:tc>
          <w:tcPr>
            <w:tcW w:w="193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262</w:t>
            </w:r>
          </w:p>
        </w:tc>
        <w:tc>
          <w:tcPr>
            <w:tcW w:w="1542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3.88 (1.6 – 9.46)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≥5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44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112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12.1 (5.001 – 29.3)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Habitamu D., 2019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(32)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Age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15-19 years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0.19 (0.02 – 2.00)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20-24 years             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37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0.07 (0.01 – 0.67)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25-29 years             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59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0.09 (0.01 – 0.53)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30-34 years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14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0.54 (0.10 – 2.94)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≥35 years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Gravidity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1          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33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2-4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88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0.13 (0.11 – 11.20)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≥5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19.25 – 173.22)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Parity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1          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46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2-4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72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1.92 (0.19 – 18.99)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≥5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26.83 (3.00 – 239.65)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ANC Attendance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121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26.89 (6.29 – 115.03)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Previous PPH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75.43 (7.42 – 767.12)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Zenebe GA., 2023</w:t>
            </w:r>
          </w:p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(33)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Current APH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19.49 (7.88 – 48.14)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530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Delivery characteristics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Single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546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Twins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11.14 (7.44 – 14.84)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Uterine atony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21.52 (12.52 – 30.52)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538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Prolonged labor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Yes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84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21.22 (17.74 – 24.70)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469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Bazirete O., 2022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(46)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Age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&lt;25 years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81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25-29 years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75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1.19 (0.60 – 2.39)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30-34 years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18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73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1.05 (0.51 – 2.16)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≥35 years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46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2.39 (1.29 – 4.43)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Health facility where delivery took place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District Hospital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265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0.29 (0.18 – 0.47)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Health Centre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46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Hemoglobin on admission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&lt;11g/dl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34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≥11g/dl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73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288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4.79 (2.73 – 8.41)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Body Mass Index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&lt;18.5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 18.5-24.9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76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199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0.10 (0.01 – 0.87)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 25-29.9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109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0.05 (0.006 – 0.49)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≥30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0.10 (0.009 – 1.08)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Intrauterine Fetal Death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7.14 (2.42 – 21.07)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97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315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Medical Insurance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312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0.16 (0.07 – 0.36)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18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Multiparity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2.03 (1.13 – 3.65)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84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Previous PPH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4.79 (1.66 – 13.78)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99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Antepartum hemorrhage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6.43 (2.15 – 19.26)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98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315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Multiple pregnancies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7.26 (2.87 – 18.33)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93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315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Anemia in pregnancy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18.53 (4.04 – 85.04)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320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Ambounda NL., 2021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(47)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Gravidity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127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0.23 (0.15 – 0.36)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2-3</w:t>
            </w:r>
          </w:p>
        </w:tc>
        <w:tc>
          <w:tcPr>
            <w:tcW w:w="193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131</w:t>
            </w:r>
          </w:p>
        </w:tc>
        <w:tc>
          <w:tcPr>
            <w:tcW w:w="193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95</w:t>
            </w:r>
          </w:p>
        </w:tc>
        <w:tc>
          <w:tcPr>
            <w:tcW w:w="1542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4+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96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192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0.25 (0.25 – 0.52)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Parity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39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181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0.01 (0.006 – 0.02)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2-3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255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14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4+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0.50 (0.24 – 1.04)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Gestational age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Before term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1.60 (1.15 – 2.22)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Term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158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235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Post term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74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6.47 (3.68 – 11.38)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Duration of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≤12 hrs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377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259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&gt;12 hrs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5.32 (1.86 – 15.26)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Birth weight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&lt;2500 g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93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0.37 (0.26 – 0.52)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2500-4000 g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357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122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&gt;4000 g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0.11 (0.04 – 0.36)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</w:t>
            </w:r>
            <w:r w:rsidRPr="00FD2661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ode of Delivery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Artificial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260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126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4.13 (1.02 – 16.77)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Directed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108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168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1.29 (0.31 – 5.25)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Spontaneous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Green KI., 2015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(25)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No odds ratios provided for the risk factors.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Ngwenya S., 2016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(48)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No odds ratios provided for the risk factors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Ujjiga TT., 2014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(49)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Gravidity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&gt;5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14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4.4 (1.93 – 10.04)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&lt;5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24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74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Parity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&gt;5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3.62 (1.52 – 8.59)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&lt;5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Oxytocin use after delivery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Given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80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0.18 (0.07 – 0.45)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  Not given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Allagoa DO., 2021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(26)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No odds ratios provided for the risk factors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EF79A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Onyema OA., 2015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(27)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No odds ratios provided for the risk factors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Lamina MA., 2015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(40)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Age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15-19 years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109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20-24 years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61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90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2.84 (1.66 – 4.86)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25-29 years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87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181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2.02 (1.22 – 3.32)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30-34 years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63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95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2.78 (1.63 – 4.74)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35-39 years</w:t>
            </w:r>
          </w:p>
        </w:tc>
        <w:tc>
          <w:tcPr>
            <w:tcW w:w="193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27</w:t>
            </w:r>
          </w:p>
        </w:tc>
        <w:tc>
          <w:tcPr>
            <w:tcW w:w="193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52</w:t>
            </w:r>
          </w:p>
        </w:tc>
        <w:tc>
          <w:tcPr>
            <w:tcW w:w="1542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2.18 (1.16 – 4.09)</w:t>
            </w:r>
          </w:p>
        </w:tc>
      </w:tr>
      <w:tr w:rsidR="00FD266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≥ 40 years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1.97 (0.77 – 5.07)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Parity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44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2-4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69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299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0.81 (0.53 – 1.24)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≥5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159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90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6.22 (4.08 – 9.50)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Mode of delivery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Spontaneous vertex delivery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179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438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Assisted breech delivery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2.45 (1.22 – 4.90)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Twin delivery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61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61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2.45 (1.65 – 3.63)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Forceps delivery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1.09 (0.33 – 3.58)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Vacuum extraction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1.03 (0.44 – 2.40)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Gebretsadik, A., 2021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(34)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Age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≤20 years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93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21-34 years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155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310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2.1 (1.2 – 3.5)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≥35 years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7.0 (3.4 – 14.3)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Residence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Urban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33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129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Rural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179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295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2.40 (1.50 – 3.60)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Parity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Multiparas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114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Primiparas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37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213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0.30 (0.20 – 0.51)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Grand multipara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61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6.50 (3.50 – 11.80)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ANC attendance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360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50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64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1.70 (1.10 – 2.60)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Previous history of PPH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30.0 (11.80 – 44.60)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156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419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Previous history of APH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2.50 (2.00 – 6.10)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201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415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Lancaster L., 2020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(44)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Cesarean section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43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186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4.21 (2.20 – 8.07)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237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HIV status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Positive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69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2.41 (1.28 – 4.53)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Negative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36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352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Malaria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Positive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7.61 (1.05 – 55.11)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Negative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57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434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lastRenderedPageBreak/>
              <w:t>Takang WA., 2022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(41)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Induction of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29.50 (7.83 – 111.15)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Duration of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&lt;12 hours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27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≥12 hours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153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0.07 (0.02 – 0.24)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Mode of delivery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Normal vertex delivery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148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Other forms of delivery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35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3.17 (1.03 – 9.72)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Tiruneh B., 2022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(35)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Age at birth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&lt;35 years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77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880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≥35 years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2.26 (1.28 – 3.40)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Residence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Urban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696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Rural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44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270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2.27 (1.48 – 3.48)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Parity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Nulliparous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435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Multiparous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62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531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1.59 (1.02 – 2.48)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ANC attendance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917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49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2.74 (1.40 – 5.35)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History of eclampsia/pre-eclampsia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1.89 (1.05 – 3.43)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79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878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History of stillbirth or neonatal loss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64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2.26 (1.19 – 4.28)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81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902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History of spontaneous abortion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70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2.63 (1.46 – 4.74)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78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896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The onset of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Spontaneous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68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793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Induced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26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173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1.75 (1.08 – 2.83)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The duration of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≤24 hours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83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947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&gt;24 hours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6.60 (3.04 – 14.35)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Vaginal or cervical lacerations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69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3.51 (2.02 – 6.10)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74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897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Retained placenta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23.42 (8.57 – 64.00)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82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960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APH in recent pregnancy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41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5.72 (3.16 – 10.34)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925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Mode of birth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Spontaneous vaginal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775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Instrumental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38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4.02 (2.04 – 7.91)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Cesarean section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153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1.15 (0.64 – 2.07)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Birth managed by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Medical intern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75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480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4.00 (2.38 – 6.72)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Staff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486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Glenzer MM., 2023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(45)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No odds ratios provided for the risk factors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Zewdu T., 2023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(36)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Severe pre-eclampsia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34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4.68 (1.66 – 13.17)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668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APH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6.23 (2.71 – 14.30)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654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Age ≥35 years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5.32 (2.37 – 11.97)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617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Cesarean section scar ≥2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5.72 (2.16 – 15.13)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667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Classic incision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14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14.74 (5.13 – 42.32)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688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Poor ANC follow-up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647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4.33 (1.75 – 10.76)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55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General anesthesia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41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13.82 (6.1 – 31.8)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14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661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Stillbirth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61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6.57 (2.86 – 15.10)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641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lastRenderedPageBreak/>
              <w:t>Valdes V., 2018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(28)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No odds ratios provided for the risk factors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Muluye G., 2023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(37)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ANC visit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199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3.56 (1.69 – 7.48)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Place of delivery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Institutional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97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206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Non-institutional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3.18 (1.10 – 9.20)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Labor initiation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Spontaneous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197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Induced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2.50 (1.19 – 5.24)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Mode of delivery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Spontaneous vaginal delivery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67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Cesarean section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34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3.61 (2.00 – 6.50)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 Assisted vaginal delivery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1.47 (0.47 – 4.56)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Duration of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&lt;24 hours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≥24 hours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3.05 (1.12 – 8.25)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Labor monitored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200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5.14 (2.46 – 10.72)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Abnormal third stage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14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81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198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4.36 (2.16 – 8.82)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Active management of third stage of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204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5.93 (2.51 – 13.98)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Nana TN., 2021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(42)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Gestational age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28-36 weeks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96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0.50 (0.29 – 0.84)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37-42 weeks</w:t>
            </w:r>
          </w:p>
        </w:tc>
        <w:tc>
          <w:tcPr>
            <w:tcW w:w="193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127</w:t>
            </w:r>
          </w:p>
        </w:tc>
        <w:tc>
          <w:tcPr>
            <w:tcW w:w="193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303</w:t>
            </w:r>
          </w:p>
        </w:tc>
        <w:tc>
          <w:tcPr>
            <w:tcW w:w="1542" w:type="pct"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&gt;42 weeks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71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0.17 (0.07 – 0.43)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Duration of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≤12 hours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140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264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9.10 (4.91 – 16.87)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&gt;12 hours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Birth weight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2500-4000 g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111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287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&lt;2500 g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120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0.28 (0.15 – 0.52)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&gt;4000 g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63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1.15 (0.70 – 1.89)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Dagne AH., 2022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(38)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Age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20-34 years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316</w:t>
            </w:r>
          </w:p>
        </w:tc>
        <w:tc>
          <w:tcPr>
            <w:tcW w:w="1542" w:type="pct"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≥35 years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51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110</w:t>
            </w:r>
          </w:p>
        </w:tc>
        <w:tc>
          <w:tcPr>
            <w:tcW w:w="1542" w:type="pct"/>
            <w:tcBorders>
              <w:top w:val="nil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9.16 (5.0 – 16.7)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Disrespectful maternity care during ANC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45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22.9 (12.3 – 42.3)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22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391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Labor induction and augmentation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29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23.0 (12.3 – 42.9)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397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Duration of the second stage of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≤2 hours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39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409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&gt;2 hours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17.3 (8.7 – 34.3)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PROM during pregnancy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2.4 (1.02 – 5.6)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59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403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ANC attendance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338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88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17.6 (9.0 – 34.3)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Kebede BA., 2019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(39)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Age group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&lt;20 years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1.9 (0.7 – 5.3)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20-34 years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46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308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≥35 years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4.9 (2.5 – 9.5)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Pregnancy complications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3.1 (1.7 – 5.6)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48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307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History of previous PPH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3.9 (1.9 – 7.7)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54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327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Complications during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36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2.6 (1.4 – 5.0)</w:t>
            </w:r>
          </w:p>
        </w:tc>
      </w:tr>
      <w:tr w:rsidR="00EF79AD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54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316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Pre-partum anemia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Yes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27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30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6.7 (3.7 – 12.4)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43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322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Mode of delivery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Normal vaginal delivery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47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298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Cesarean section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30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1.1 (0.4 – 2.9)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Instrumental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18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24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4.8 (2.4 – 9.4)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Clarke-Deelder E., 2023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(29)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No risk factors reported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Ononge, S., 2016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(50)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Information on risk factors not complete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Halle-Ekane, G.E., 2016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(43)</w:t>
            </w: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Surgical history            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None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106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403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Cesarean section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4.35 (1.54 – 12.25)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Dilatation and curettage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5.07 (1.72 – 14.93)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Myomectomy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7.60 (2.25 – 25.73)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Gravidity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Primigravida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85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Multigravida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108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281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3.63 (1.76 – 7.47)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Grand multigravida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54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2.27 (0.91 – 5.68)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Parity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Primiparous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77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Multiparous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106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341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1.26 (0.73 – 2.18)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Grand multiparous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10.13 (1.82 – 56.30)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Gynaecological history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None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403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Previous abortion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6.32 (2.79 – 14.34)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Genito-urinary infections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1.30 (1.30 – 18.72)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Previous PPH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93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</w:t>
            </w:r>
          </w:p>
        </w:tc>
        <w:tc>
          <w:tcPr>
            <w:tcW w:w="1542" w:type="pct"/>
            <w:tcBorders>
              <w:bottom w:val="single" w:sz="4" w:space="0" w:color="auto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13.83 (2.83 – 67.57)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3556" w:type="pct"/>
            <w:gridSpan w:val="4"/>
            <w:tcBorders>
              <w:top w:val="single" w:sz="4" w:space="0" w:color="auto"/>
              <w:bottom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Duration of labor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&lt;12 hours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93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206</w:t>
            </w:r>
          </w:p>
        </w:tc>
        <w:tc>
          <w:tcPr>
            <w:tcW w:w="1542" w:type="pct"/>
            <w:tcBorders>
              <w:top w:val="nil"/>
            </w:tcBorders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0.12 (0.06 – 0.22)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12-24 hours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104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208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610769" w:rsidTr="00DA4307">
        <w:trPr>
          <w:trHeight w:val="20"/>
          <w:jc w:val="center"/>
        </w:trPr>
        <w:tc>
          <w:tcPr>
            <w:tcW w:w="1041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03" w:type="pct"/>
            <w:vMerge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628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         &gt;24 hours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93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542" w:type="pct"/>
          </w:tcPr>
          <w:p w:rsidR="00A058D1" w:rsidRPr="00610769" w:rsidRDefault="00A058D1" w:rsidP="0061076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610769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0.03 (0.009 – 0.09)</w:t>
            </w:r>
          </w:p>
        </w:tc>
      </w:tr>
    </w:tbl>
    <w:p w:rsidR="00A058D1" w:rsidRPr="00225A5B" w:rsidRDefault="00A058D1" w:rsidP="00610769">
      <w:pPr>
        <w:pStyle w:val="Tablefooter"/>
      </w:pPr>
    </w:p>
    <w:p w:rsidR="00A058D1" w:rsidRPr="00225A5B" w:rsidRDefault="00A058D1" w:rsidP="00610769">
      <w:pPr>
        <w:pStyle w:val="Tablefooter"/>
      </w:pPr>
    </w:p>
    <w:p w:rsidR="00943484" w:rsidRDefault="00943484" w:rsidP="00610769">
      <w:pPr>
        <w:pStyle w:val="Tablecaption"/>
        <w:spacing w:before="312" w:after="312"/>
      </w:pPr>
      <w:r>
        <w:br w:type="page"/>
      </w:r>
    </w:p>
    <w:p w:rsidR="00A058D1" w:rsidRPr="00225A5B" w:rsidRDefault="004265E8" w:rsidP="00610769">
      <w:pPr>
        <w:pStyle w:val="Tablecaption"/>
        <w:spacing w:before="312" w:after="312"/>
      </w:pPr>
      <w:r w:rsidRPr="00225A5B">
        <w:lastRenderedPageBreak/>
        <w:t xml:space="preserve">Supplementary </w:t>
      </w:r>
      <w:r>
        <w:t>Table</w:t>
      </w:r>
      <w:r w:rsidRPr="00225A5B">
        <w:t xml:space="preserve"> </w:t>
      </w:r>
      <w:r w:rsidR="00A058D1" w:rsidRPr="00225A5B">
        <w:t>4</w:t>
      </w:r>
      <w:r>
        <w:t>.</w:t>
      </w:r>
      <w:r w:rsidR="00A058D1" w:rsidRPr="00225A5B">
        <w:t xml:space="preserve"> Significant odds ratios of association between variables and PPH</w:t>
      </w:r>
      <w:r w:rsidR="00610769">
        <w:t>.</w:t>
      </w:r>
    </w:p>
    <w:tbl>
      <w:tblPr>
        <w:tblStyle w:val="a7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1389"/>
        <w:gridCol w:w="3581"/>
        <w:gridCol w:w="663"/>
        <w:gridCol w:w="666"/>
        <w:gridCol w:w="5249"/>
      </w:tblGrid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bookmarkStart w:id="0" w:name="_Hlk146642507"/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First author, Publication year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Reference</w:t>
            </w:r>
          </w:p>
        </w:tc>
        <w:tc>
          <w:tcPr>
            <w:tcW w:w="1183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Variable (Duration of labour)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PPH</w:t>
            </w:r>
          </w:p>
        </w:tc>
        <w:tc>
          <w:tcPr>
            <w:tcW w:w="1735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Crude odds ratio (95% Confidence Interval)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Yes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No</w:t>
            </w:r>
          </w:p>
        </w:tc>
        <w:tc>
          <w:tcPr>
            <w:tcW w:w="173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Age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Amanuel T.,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(30)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&lt;35 years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240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≥35 years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30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3.79 (1.57 – 9.13)</w:t>
            </w:r>
          </w:p>
        </w:tc>
      </w:tr>
      <w:tr w:rsidR="00A058D1" w:rsidRPr="00F557AB" w:rsidTr="00F557AB">
        <w:trPr>
          <w:trHeight w:val="143"/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Bazirete O.,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(46)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&lt;35 years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58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229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≥35 years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46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82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2.21 (1.40 – 3.52)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Habitamu D., 2019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(32)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&lt;35 years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123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≥35 years</w:t>
            </w:r>
          </w:p>
        </w:tc>
        <w:tc>
          <w:tcPr>
            <w:tcW w:w="219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</w:t>
            </w:r>
          </w:p>
        </w:tc>
        <w:tc>
          <w:tcPr>
            <w:tcW w:w="219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1735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7.03 (1.76 – 28.14)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Gebretsadik, A., 2021</w:t>
            </w:r>
          </w:p>
        </w:tc>
        <w:tc>
          <w:tcPr>
            <w:tcW w:w="459" w:type="pct"/>
            <w:vMerge w:val="restart"/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(34)</w:t>
            </w:r>
          </w:p>
        </w:tc>
        <w:tc>
          <w:tcPr>
            <w:tcW w:w="1183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&lt;35 years</w:t>
            </w:r>
          </w:p>
        </w:tc>
        <w:tc>
          <w:tcPr>
            <w:tcW w:w="219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177</w:t>
            </w:r>
          </w:p>
        </w:tc>
        <w:tc>
          <w:tcPr>
            <w:tcW w:w="219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403</w:t>
            </w:r>
          </w:p>
        </w:tc>
        <w:tc>
          <w:tcPr>
            <w:tcW w:w="1735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≥35 years</w:t>
            </w:r>
          </w:p>
        </w:tc>
        <w:tc>
          <w:tcPr>
            <w:tcW w:w="219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35</w:t>
            </w:r>
          </w:p>
        </w:tc>
        <w:tc>
          <w:tcPr>
            <w:tcW w:w="219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</w:t>
            </w:r>
          </w:p>
        </w:tc>
        <w:tc>
          <w:tcPr>
            <w:tcW w:w="1735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3.79 (2.15 – 6.70)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Mesfin S.,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(31)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&lt;35 years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43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420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≥35 years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39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52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7.33 (4.35 – 12.32)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Tiruneh B.,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(35)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&lt;35 years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77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880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≥35 years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86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2.26 (1.28 – 3.40)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Zewdu T., 2023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(36)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&lt;35 years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617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≥35 years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85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5.32 (2.37 – 11.97)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Dagne AH.,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(38)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&lt;35 years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316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≥35 years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51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110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9.16 (5.0 – 16.7)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Kebede BA., 2019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(39)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&lt;35 years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51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326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≥35 years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26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4.67 (2.41 – 9.05)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History of ANC attendance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Amanuel T.,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(30)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226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44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3.8 (1.7 – 8.7)</w:t>
            </w:r>
          </w:p>
        </w:tc>
      </w:tr>
      <w:tr w:rsidR="00F557AB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Habitamu D., 2019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(32)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121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26.89 (6.29 – 115.03)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Gebretsadik, A.,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(34)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162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360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50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64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1.74 (1.15 – 2.63)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lastRenderedPageBreak/>
              <w:t>Tiruneh B.,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(35)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82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917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49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2.74 (1.40 – 5.35)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Zewdu T., 2023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(36)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647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0.23 (0.09 – 0.57)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Muluye G., 2023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(37)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86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199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3.56 (1.69 – 7.48)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Dagne AH.,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(38)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338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55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88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17.6 (9.0 – 34.3)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History of PPH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Amanuel T.,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(30)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40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3.7 (1.6 – 8.5)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</w:t>
            </w:r>
          </w:p>
        </w:tc>
        <w:tc>
          <w:tcPr>
            <w:tcW w:w="219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230</w:t>
            </w:r>
          </w:p>
        </w:tc>
        <w:tc>
          <w:tcPr>
            <w:tcW w:w="1735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Habitamu D., 2019</w:t>
            </w:r>
          </w:p>
        </w:tc>
        <w:tc>
          <w:tcPr>
            <w:tcW w:w="459" w:type="pct"/>
            <w:vMerge w:val="restart"/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(32)</w:t>
            </w:r>
          </w:p>
        </w:tc>
        <w:tc>
          <w:tcPr>
            <w:tcW w:w="1183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</w:t>
            </w:r>
          </w:p>
        </w:tc>
        <w:tc>
          <w:tcPr>
            <w:tcW w:w="219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  <w:tc>
          <w:tcPr>
            <w:tcW w:w="1735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75.43 (7.42 – 767.12)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219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132</w:t>
            </w:r>
          </w:p>
        </w:tc>
        <w:tc>
          <w:tcPr>
            <w:tcW w:w="1735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Gebretsadik, A.,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(34)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56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30.0 (11.80 – 44.60)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156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419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Kebede BA., 2019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(39)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3.9 (1.9 – 7.7)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54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327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Halle-Ekane, G.E., 2016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(43)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13.83 (2.83 – 67.57)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102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403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Mode of delivery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Amanuel T.,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(30)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Instrumental/CS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39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4.44 (1.95 – 10.10)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Vaginal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231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Tiruneh B.,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(35)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Instrumental/CS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191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1.72 (1.08 – 2.75)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Vaginal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66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775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Muluye G., 2023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(37)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Instrumental/CS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39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34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3.05 (1.78 – 5.22)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Vaginal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67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178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Kebede BA., 2019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(39)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Instrumental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54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2.70 (1.52 – 4.81)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Vaginal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47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298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Residence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Gebretsadik, A.,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(34)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Rural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179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295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2.40 (1.50 – 3.60)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Urban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33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129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lastRenderedPageBreak/>
              <w:t>Mesfin S.,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(31)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Rural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46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233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1.74 (1.09 – 2.77)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Urban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37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326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Uterine atony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Amanuel T.,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(30)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5.6 (2.1 – 15.4)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255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Zenebe GA., 2023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(33)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21.52 (8.14 – 56.92)</w:t>
            </w:r>
          </w:p>
        </w:tc>
      </w:tr>
      <w:tr w:rsidR="00F557AB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538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Gravidity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Mesfin S.,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(31)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1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185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≥2</w:t>
            </w:r>
          </w:p>
        </w:tc>
        <w:tc>
          <w:tcPr>
            <w:tcW w:w="219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77</w:t>
            </w:r>
          </w:p>
        </w:tc>
        <w:tc>
          <w:tcPr>
            <w:tcW w:w="219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374</w:t>
            </w:r>
          </w:p>
        </w:tc>
        <w:tc>
          <w:tcPr>
            <w:tcW w:w="1735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6.35 (2.72 – 14.84)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Halle-Ekane, G.E., 2016</w:t>
            </w:r>
          </w:p>
        </w:tc>
        <w:tc>
          <w:tcPr>
            <w:tcW w:w="459" w:type="pct"/>
            <w:vMerge w:val="restart"/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(43)</w:t>
            </w:r>
          </w:p>
        </w:tc>
        <w:tc>
          <w:tcPr>
            <w:tcW w:w="1183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1</w:t>
            </w:r>
          </w:p>
        </w:tc>
        <w:tc>
          <w:tcPr>
            <w:tcW w:w="219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219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85</w:t>
            </w:r>
          </w:p>
        </w:tc>
        <w:tc>
          <w:tcPr>
            <w:tcW w:w="1735" w:type="pct"/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≥2</w:t>
            </w:r>
          </w:p>
        </w:tc>
        <w:tc>
          <w:tcPr>
            <w:tcW w:w="219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121</w:t>
            </w:r>
          </w:p>
        </w:tc>
        <w:tc>
          <w:tcPr>
            <w:tcW w:w="219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335</w:t>
            </w:r>
          </w:p>
        </w:tc>
        <w:tc>
          <w:tcPr>
            <w:tcW w:w="1735" w:type="pct"/>
            <w:tcBorders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3.41 (1.66 – 6.99)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Parity</w:t>
            </w:r>
          </w:p>
        </w:tc>
      </w:tr>
      <w:tr w:rsidR="00A058D1" w:rsidRPr="00F557AB" w:rsidTr="00F557AB">
        <w:trPr>
          <w:trHeight w:val="70"/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Lamina MA., 2015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(40)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1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44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≥2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228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389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2.06 (1.42 – 3.00)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Gebretsadik, A.,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(34)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1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37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213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≥2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175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211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4.77 (3.19 – 7.14)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APH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Zenebe GA., 2023</w:t>
            </w:r>
          </w:p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(33)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19.49 (7.88 – 48.14)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530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Bazirete O.,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(46)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6.43 (2.15 – 19.26)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98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315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Gebretsadik, A.,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(34)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2.52 (1.03 – 6.19)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201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415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Tiruneh B.,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(35)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41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5.72 (3.16 – 10.34)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75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925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Zewdu T., 2023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(36)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48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6.23 (2.71 – 14.30)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654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Twin pregnancy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lastRenderedPageBreak/>
              <w:t>Zenebe GA., 2023</w:t>
            </w:r>
          </w:p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(33)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11.14 2.69 –46.15)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21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546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Bazirete O.,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(46)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7.26 (2.87 – 18.33)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93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315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Anaemia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Bazirete O.,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(46)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34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4.79 (2.73 – 8.41)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73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288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Kebede BA., 2019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(39)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27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30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6.7 (3.7 – 12.4)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43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322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Stillbirth or IUFD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Bazirete O.,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(46)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11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7.14 (2.42 – 21.07)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97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315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Tiruneh B.,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(35)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13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64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2.26 (1.19 – 4.28)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81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902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t>Zewdu T., 2023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(36)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61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6.57 (2.86 – 15.10)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641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Gestational age</w:t>
            </w:r>
          </w:p>
        </w:tc>
      </w:tr>
      <w:tr w:rsidR="00A058D1" w:rsidRPr="00F557AB" w:rsidTr="00F557AB">
        <w:trPr>
          <w:trHeight w:val="231"/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Ambounda NL.,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(47)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Term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158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235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Preterm/Post-term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190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125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2.26 (1.67 – 3.06)</w:t>
            </w:r>
          </w:p>
        </w:tc>
      </w:tr>
      <w:tr w:rsidR="00A058D1" w:rsidRPr="00F557AB" w:rsidTr="00F557AB">
        <w:trPr>
          <w:trHeight w:val="70"/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Nana TN., 2021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(42)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Term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127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303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 Preterm/Post-term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167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0.36 (0.22 – 0.57)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Oxytocin use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Ujjiga TT., 2014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(49)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28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80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0.18 (0.07 – 0.45)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Muluye G., 2023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(37)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86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204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0.17 (0.07 – 0.40)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20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Induction of labor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Dagne AH.,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(38)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42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29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23.0 (12.3 – 42.9)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25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397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Muluye G., 2023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(37)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15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2.16 (1.01 – 4.62)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91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197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</w:rPr>
              <w:lastRenderedPageBreak/>
              <w:t>Takang WA.,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(41)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29.50 (7.83 – 111.15)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177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Tiruneh B.,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(35)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26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173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1.75 (1.08 – 2.83)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68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793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History of abortion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Tiruneh B., 2022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(35)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70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2.63 (1.46 – 4.74)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78</w:t>
            </w:r>
          </w:p>
        </w:tc>
        <w:tc>
          <w:tcPr>
            <w:tcW w:w="219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896</w:t>
            </w:r>
          </w:p>
        </w:tc>
        <w:tc>
          <w:tcPr>
            <w:tcW w:w="1735" w:type="pct"/>
            <w:tcBorders>
              <w:top w:val="nil"/>
              <w:bottom w:val="single" w:sz="4" w:space="0" w:color="auto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  <w:t>Halle-Ekane, G.E., 2016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(43)</w:t>
            </w:r>
          </w:p>
        </w:tc>
        <w:tc>
          <w:tcPr>
            <w:tcW w:w="1183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Yes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16</w:t>
            </w:r>
          </w:p>
        </w:tc>
        <w:tc>
          <w:tcPr>
            <w:tcW w:w="219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</w:t>
            </w:r>
          </w:p>
        </w:tc>
        <w:tc>
          <w:tcPr>
            <w:tcW w:w="1735" w:type="pct"/>
            <w:tcBorders>
              <w:top w:val="single" w:sz="4" w:space="0" w:color="auto"/>
              <w:bottom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1"/>
                <w:szCs w:val="21"/>
                <w:lang w:val="en-ZA"/>
              </w:rPr>
              <w:t>6.32 (2.79 – 14.34)</w:t>
            </w:r>
          </w:p>
        </w:tc>
      </w:tr>
      <w:tr w:rsidR="00A058D1" w:rsidRPr="00F557AB" w:rsidTr="00F557AB">
        <w:trPr>
          <w:jc w:val="center"/>
        </w:trPr>
        <w:tc>
          <w:tcPr>
            <w:tcW w:w="1185" w:type="pct"/>
            <w:vMerge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9" w:type="pct"/>
            <w:vMerge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</w:p>
        </w:tc>
        <w:tc>
          <w:tcPr>
            <w:tcW w:w="1183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 xml:space="preserve">       No</w:t>
            </w:r>
          </w:p>
        </w:tc>
        <w:tc>
          <w:tcPr>
            <w:tcW w:w="219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102</w:t>
            </w:r>
          </w:p>
        </w:tc>
        <w:tc>
          <w:tcPr>
            <w:tcW w:w="219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403</w:t>
            </w:r>
          </w:p>
        </w:tc>
        <w:tc>
          <w:tcPr>
            <w:tcW w:w="1735" w:type="pct"/>
            <w:tcBorders>
              <w:top w:val="nil"/>
            </w:tcBorders>
          </w:tcPr>
          <w:p w:rsidR="00A058D1" w:rsidRPr="00F557AB" w:rsidRDefault="00A058D1" w:rsidP="00F557AB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</w:pPr>
            <w:r w:rsidRPr="00F557AB">
              <w:rPr>
                <w:rFonts w:ascii="Times New Roman" w:hAnsi="Times New Roman" w:cs="Times New Roman"/>
                <w:color w:val="0D0D0D" w:themeColor="text1" w:themeTint="F2"/>
                <w:sz w:val="21"/>
                <w:szCs w:val="21"/>
                <w:lang w:val="en-ZA"/>
              </w:rPr>
              <w:t>1</w:t>
            </w:r>
          </w:p>
        </w:tc>
      </w:tr>
      <w:bookmarkEnd w:id="0"/>
    </w:tbl>
    <w:p w:rsidR="00A058D1" w:rsidRDefault="00A058D1" w:rsidP="00F557AB">
      <w:pPr>
        <w:pStyle w:val="Tablefooter"/>
      </w:pPr>
    </w:p>
    <w:p w:rsidR="00943484" w:rsidRPr="00943484" w:rsidRDefault="00943484" w:rsidP="00943484">
      <w:pPr>
        <w:rPr>
          <w:lang w:val="en-US" w:eastAsia="de-DE" w:bidi="en-US"/>
        </w:rPr>
      </w:pPr>
    </w:p>
    <w:p w:rsidR="00F557AB" w:rsidRDefault="00F557AB" w:rsidP="00F557AB">
      <w:pPr>
        <w:pStyle w:val="Tablecaption"/>
        <w:spacing w:before="312" w:after="312"/>
        <w:sectPr w:rsidR="00F557AB" w:rsidSect="00FD2661">
          <w:headerReference w:type="even" r:id="rId10"/>
          <w:headerReference w:type="default" r:id="rId11"/>
          <w:footerReference w:type="even" r:id="rId12"/>
          <w:headerReference w:type="first" r:id="rId13"/>
          <w:footerReference w:type="first" r:id="rId14"/>
          <w:pgSz w:w="16838" w:h="11906" w:orient="landscape"/>
          <w:pgMar w:top="1134" w:right="851" w:bottom="1134" w:left="851" w:header="283" w:footer="283" w:gutter="0"/>
          <w:cols w:space="425"/>
          <w:docGrid w:type="lines" w:linePitch="312"/>
        </w:sectPr>
      </w:pPr>
    </w:p>
    <w:p w:rsidR="00A058D1" w:rsidRPr="00225A5B" w:rsidRDefault="00BE6A0E" w:rsidP="00F557AB">
      <w:pPr>
        <w:pStyle w:val="Tablecaption"/>
        <w:spacing w:before="312" w:after="312"/>
      </w:pPr>
      <w:r w:rsidRPr="00225A5B">
        <w:lastRenderedPageBreak/>
        <w:t xml:space="preserve">Supplementary </w:t>
      </w:r>
      <w:r>
        <w:t>Table</w:t>
      </w:r>
      <w:r w:rsidRPr="00225A5B">
        <w:t xml:space="preserve"> </w:t>
      </w:r>
      <w:r w:rsidR="00F557AB">
        <w:t>5</w:t>
      </w:r>
      <w:r>
        <w:t>.</w:t>
      </w:r>
      <w:bookmarkStart w:id="1" w:name="_GoBack"/>
      <w:bookmarkEnd w:id="1"/>
      <w:r w:rsidR="00F557AB">
        <w:t xml:space="preserve"> Sensitivity analysis results.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2268"/>
        <w:gridCol w:w="4103"/>
      </w:tblGrid>
      <w:tr w:rsidR="00A058D1" w:rsidRPr="00225A5B" w:rsidTr="009159A7">
        <w:trPr>
          <w:trHeight w:val="20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  <w:t>Excluded study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  <w:t>Reference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  <w:t>Pooled Magnitude (%)</w:t>
            </w:r>
          </w:p>
        </w:tc>
        <w:tc>
          <w:tcPr>
            <w:tcW w:w="4103" w:type="dxa"/>
            <w:tcBorders>
              <w:top w:val="single" w:sz="4" w:space="0" w:color="auto"/>
              <w:bottom w:val="single" w:sz="4" w:space="0" w:color="auto"/>
            </w:tcBorders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  <w:t>95% Confidence Interval of Pooled Magnitude (%)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  <w:tcBorders>
              <w:top w:val="single" w:sz="4" w:space="0" w:color="auto"/>
            </w:tcBorders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Amanuel T., 2021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(30)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8.5</w:t>
            </w:r>
          </w:p>
        </w:tc>
        <w:tc>
          <w:tcPr>
            <w:tcW w:w="4103" w:type="dxa"/>
            <w:tcBorders>
              <w:top w:val="single" w:sz="4" w:space="0" w:color="auto"/>
            </w:tcBorders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6.3 – 11.0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Mesfin S., 2021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(31)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8.4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6.2 – 10.8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Habitamu D., 2019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(32)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8.6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6.4 – 11.1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Zenebe GA., 2023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(33)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8.8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6.5 – 11.3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Gebretsadik A., 2021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(34)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8.9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6.5 – 11.6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Tiruneh B., 2022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(35)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8.5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6.3 – 11.0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Zewdu T., 2023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(36)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8.8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6.5 – 11.3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Muluye G., 2023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(37)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7.9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5.8 – 10.2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Dagne AH., 2022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(38)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8.4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6.2 – 10.8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Kebede BA., 2019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(39)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8.3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6.1 – 10.7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Green KI., 2015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(25)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8.7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6.5 – 11.3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Allagoa DO., 2021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(26)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9.0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6.7 – 11.6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Lamina MA., 2015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(40)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8.7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6.4 – 11.4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Onyema OA., 2015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(27)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8.8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6.5 – 11.4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Takang WA., 2022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(41)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8.6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6.4 – 11.1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Nana TN., 2021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(42)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9.0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6.6 – 11.7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Halle-Ekane GE., 2016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(43)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8.1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6.0 – 10.4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Lancaster L., 2020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(44)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8.4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6.2 – 10.9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Glenzer MM., 2023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(45)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8.2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6.5 – 10.2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Bazirete O., 2022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(46)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8.0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5.9 – 10.4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Ambounda NL., 2021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(47)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9.0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6.5 – 11.7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Ngwenya S., 2016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(48)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9.0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6.6 – 11.6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Ujjiga TT., 2014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(49)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7.9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5.8 – 10.3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Valdes V., 2018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(28)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8.7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6.5 – 11.3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Clarke-Deelder E., 2023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(29)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8.6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6.3 – 11.1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Ononge, S., 2016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  <w:lang w:val="en-ZA"/>
              </w:rPr>
              <w:t>(50)</w:t>
            </w: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8.5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noProof/>
                <w:color w:val="0D0D0D" w:themeColor="text1" w:themeTint="F2"/>
                <w:sz w:val="21"/>
                <w:szCs w:val="21"/>
              </w:rPr>
              <w:t>6.3 – 11.0</w:t>
            </w:r>
          </w:p>
        </w:tc>
      </w:tr>
      <w:tr w:rsidR="00A058D1" w:rsidRPr="00225A5B" w:rsidTr="009159A7">
        <w:trPr>
          <w:trHeight w:val="20"/>
        </w:trPr>
        <w:tc>
          <w:tcPr>
            <w:tcW w:w="2405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  <w:t>OVERALL</w:t>
            </w:r>
          </w:p>
        </w:tc>
        <w:tc>
          <w:tcPr>
            <w:tcW w:w="141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</w:pPr>
          </w:p>
        </w:tc>
        <w:tc>
          <w:tcPr>
            <w:tcW w:w="2268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  <w:t>8.6</w:t>
            </w:r>
          </w:p>
        </w:tc>
        <w:tc>
          <w:tcPr>
            <w:tcW w:w="4103" w:type="dxa"/>
          </w:tcPr>
          <w:p w:rsidR="00A058D1" w:rsidRPr="00D7174A" w:rsidRDefault="00A058D1" w:rsidP="00D7174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</w:pPr>
            <w:r w:rsidRPr="00D7174A"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1"/>
                <w:szCs w:val="21"/>
              </w:rPr>
              <w:t>6.4 – 11.0</w:t>
            </w:r>
          </w:p>
        </w:tc>
      </w:tr>
    </w:tbl>
    <w:p w:rsidR="00782118" w:rsidRDefault="00782118" w:rsidP="009159A7">
      <w:pPr>
        <w:pStyle w:val="Tablefooter"/>
      </w:pPr>
    </w:p>
    <w:p w:rsidR="009159A7" w:rsidRDefault="009159A7" w:rsidP="009159A7">
      <w:pPr>
        <w:pStyle w:val="Tablefooter"/>
      </w:pPr>
    </w:p>
    <w:sectPr w:rsidR="009159A7" w:rsidSect="009159A7">
      <w:pgSz w:w="11906" w:h="16838"/>
      <w:pgMar w:top="1134" w:right="851" w:bottom="1134" w:left="851" w:header="283" w:footer="28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883" w:rsidRDefault="00F75883" w:rsidP="009A21E7">
      <w:pPr>
        <w:spacing w:after="0" w:line="240" w:lineRule="auto"/>
        <w:ind w:firstLine="400"/>
      </w:pPr>
      <w:r>
        <w:separator/>
      </w:r>
    </w:p>
  </w:endnote>
  <w:endnote w:type="continuationSeparator" w:id="0">
    <w:p w:rsidR="00F75883" w:rsidRDefault="00F75883" w:rsidP="009A21E7">
      <w:pPr>
        <w:spacing w:after="0" w:line="240" w:lineRule="auto"/>
        <w:ind w:firstLine="4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635188453"/>
      <w:docPartObj>
        <w:docPartGallery w:val="Page Numbers (Bottom of Page)"/>
        <w:docPartUnique/>
      </w:docPartObj>
    </w:sdtPr>
    <w:sdtEndPr/>
    <w:sdtContent>
      <w:p w:rsidR="00C74FFF" w:rsidRPr="00C74FFF" w:rsidRDefault="00C74FFF" w:rsidP="00C74FFF">
        <w:pPr>
          <w:pStyle w:val="a5"/>
          <w:jc w:val="center"/>
          <w:rPr>
            <w:rFonts w:ascii="Times New Roman" w:hAnsi="Times New Roman" w:cs="Times New Roman"/>
          </w:rPr>
        </w:pPr>
        <w:r w:rsidRPr="00C74FFF">
          <w:rPr>
            <w:rFonts w:ascii="Times New Roman" w:hAnsi="Times New Roman" w:cs="Times New Roman"/>
          </w:rPr>
          <w:fldChar w:fldCharType="begin"/>
        </w:r>
        <w:r w:rsidRPr="00C74FFF">
          <w:rPr>
            <w:rFonts w:ascii="Times New Roman" w:hAnsi="Times New Roman" w:cs="Times New Roman"/>
          </w:rPr>
          <w:instrText>PAGE   \* MERGEFORMAT</w:instrText>
        </w:r>
        <w:r w:rsidRPr="00C74FFF">
          <w:rPr>
            <w:rFonts w:ascii="Times New Roman" w:hAnsi="Times New Roman" w:cs="Times New Roman"/>
          </w:rPr>
          <w:fldChar w:fldCharType="separate"/>
        </w:r>
        <w:r w:rsidR="00BE6A0E" w:rsidRPr="00BE6A0E">
          <w:rPr>
            <w:rFonts w:ascii="Times New Roman" w:hAnsi="Times New Roman" w:cs="Times New Roman"/>
            <w:noProof/>
            <w:lang w:val="zh-CN" w:eastAsia="zh-CN"/>
          </w:rPr>
          <w:t>18</w:t>
        </w:r>
        <w:r w:rsidRPr="00C74FF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61" w:rsidRDefault="00FD2661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61" w:rsidRDefault="00FD266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883" w:rsidRDefault="00F75883" w:rsidP="009A21E7">
      <w:pPr>
        <w:spacing w:after="0" w:line="240" w:lineRule="auto"/>
        <w:ind w:firstLine="400"/>
      </w:pPr>
      <w:r>
        <w:separator/>
      </w:r>
    </w:p>
  </w:footnote>
  <w:footnote w:type="continuationSeparator" w:id="0">
    <w:p w:rsidR="00F75883" w:rsidRDefault="00F75883" w:rsidP="009A21E7">
      <w:pPr>
        <w:spacing w:after="0" w:line="240" w:lineRule="auto"/>
        <w:ind w:firstLine="4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61" w:rsidRDefault="00FD2661" w:rsidP="00F33A9C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61" w:rsidRDefault="00FD2661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61" w:rsidRDefault="00FD2661" w:rsidP="009A21E7">
    <w:pPr>
      <w:pStyle w:val="a3"/>
      <w:pBdr>
        <w:bottom w:val="none" w:sz="0" w:space="0" w:color="auto"/>
      </w:pBdr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61" w:rsidRDefault="00FD2661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68F5"/>
    <w:multiLevelType w:val="hybridMultilevel"/>
    <w:tmpl w:val="A0A2DB04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A69"/>
    <w:multiLevelType w:val="multilevel"/>
    <w:tmpl w:val="92F896CA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B7A670C"/>
    <w:multiLevelType w:val="hybridMultilevel"/>
    <w:tmpl w:val="041AB3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C4DC4"/>
    <w:multiLevelType w:val="hybridMultilevel"/>
    <w:tmpl w:val="1BA84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4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  <w:num w:numId="20">
    <w:abstractNumId w:val="4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1"/>
  </w:num>
  <w:num w:numId="30">
    <w:abstractNumId w:val="1"/>
  </w:num>
  <w:num w:numId="31">
    <w:abstractNumId w:val="1"/>
  </w:num>
  <w:num w:numId="32">
    <w:abstractNumId w:val="0"/>
  </w:num>
  <w:num w:numId="33">
    <w:abstractNumId w:val="4"/>
  </w:num>
  <w:num w:numId="34">
    <w:abstractNumId w:val="0"/>
  </w:num>
  <w:num w:numId="35">
    <w:abstractNumId w:val="4"/>
  </w:num>
  <w:num w:numId="36">
    <w:abstractNumId w:val="0"/>
  </w:num>
  <w:num w:numId="37">
    <w:abstractNumId w:val="0"/>
  </w:num>
  <w:num w:numId="38">
    <w:abstractNumId w:val="0"/>
  </w:num>
  <w:num w:numId="39">
    <w:abstractNumId w:val="2"/>
  </w:num>
  <w:num w:numId="40">
    <w:abstractNumId w:val="3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F10"/>
    <w:rsid w:val="00047242"/>
    <w:rsid w:val="00053358"/>
    <w:rsid w:val="000F3726"/>
    <w:rsid w:val="00223EE7"/>
    <w:rsid w:val="002C5B11"/>
    <w:rsid w:val="00306C79"/>
    <w:rsid w:val="003400DB"/>
    <w:rsid w:val="00340871"/>
    <w:rsid w:val="004265E8"/>
    <w:rsid w:val="00444F9F"/>
    <w:rsid w:val="00463E2E"/>
    <w:rsid w:val="0046543B"/>
    <w:rsid w:val="004E66C7"/>
    <w:rsid w:val="00542B41"/>
    <w:rsid w:val="00551F71"/>
    <w:rsid w:val="005B0D2C"/>
    <w:rsid w:val="005F4087"/>
    <w:rsid w:val="00610769"/>
    <w:rsid w:val="00690E7B"/>
    <w:rsid w:val="006C61C3"/>
    <w:rsid w:val="00727C75"/>
    <w:rsid w:val="007471D0"/>
    <w:rsid w:val="007728FE"/>
    <w:rsid w:val="00772A46"/>
    <w:rsid w:val="00780C2B"/>
    <w:rsid w:val="00782118"/>
    <w:rsid w:val="007D18E1"/>
    <w:rsid w:val="0085621E"/>
    <w:rsid w:val="008B3741"/>
    <w:rsid w:val="009159A7"/>
    <w:rsid w:val="00943484"/>
    <w:rsid w:val="009927C3"/>
    <w:rsid w:val="009A21E7"/>
    <w:rsid w:val="009E4FD0"/>
    <w:rsid w:val="00A058D1"/>
    <w:rsid w:val="00A13372"/>
    <w:rsid w:val="00A266CD"/>
    <w:rsid w:val="00A26F7F"/>
    <w:rsid w:val="00A332E9"/>
    <w:rsid w:val="00BC2D3F"/>
    <w:rsid w:val="00BE6698"/>
    <w:rsid w:val="00BE6A0E"/>
    <w:rsid w:val="00C13FD5"/>
    <w:rsid w:val="00C74FFF"/>
    <w:rsid w:val="00C872D4"/>
    <w:rsid w:val="00CB1530"/>
    <w:rsid w:val="00CB1B64"/>
    <w:rsid w:val="00CC01B0"/>
    <w:rsid w:val="00D20B6B"/>
    <w:rsid w:val="00D7174A"/>
    <w:rsid w:val="00D85A7A"/>
    <w:rsid w:val="00DA428E"/>
    <w:rsid w:val="00DA4307"/>
    <w:rsid w:val="00DE72A8"/>
    <w:rsid w:val="00E86111"/>
    <w:rsid w:val="00EB13F3"/>
    <w:rsid w:val="00EC6F10"/>
    <w:rsid w:val="00EE5F83"/>
    <w:rsid w:val="00EF79AD"/>
    <w:rsid w:val="00F12274"/>
    <w:rsid w:val="00F33A9C"/>
    <w:rsid w:val="00F45BFB"/>
    <w:rsid w:val="00F557AB"/>
    <w:rsid w:val="00F63395"/>
    <w:rsid w:val="00F75883"/>
    <w:rsid w:val="00FA04CB"/>
    <w:rsid w:val="00FD2661"/>
    <w:rsid w:val="00FE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AD9D4"/>
  <w15:chartTrackingRefBased/>
  <w15:docId w15:val="{E2EFED45-1673-4CD7-992B-03161277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 w:unhideWhenUsed="1" w:qFormat="1"/>
    <w:lsdException w:name="header" w:semiHidden="1" w:qFormat="1"/>
    <w:lsdException w:name="footer" w:semiHidden="1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 w:qFormat="1"/>
    <w:lsdException w:name="line number" w:semiHidden="1" w:unhideWhenUsed="1" w:qFormat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1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 w:qFormat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rsid w:val="00340871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GB" w:eastAsia="en-US"/>
      <w14:ligatures w14:val="standardContextual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340871"/>
    <w:pPr>
      <w:keepNext/>
      <w:keepLines/>
      <w:adjustRightInd w:val="0"/>
      <w:snapToGrid w:val="0"/>
      <w:spacing w:before="360" w:after="3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  <w:lang w:val="en-US" w:eastAsia="zh-CN"/>
      <w14:ligatures w14:val="none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340871"/>
    <w:pPr>
      <w:keepNext/>
      <w:keepLines/>
      <w:adjustRightInd w:val="0"/>
      <w:snapToGrid w:val="0"/>
      <w:spacing w:before="24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noProof/>
      <w:color w:val="000000"/>
      <w:kern w:val="0"/>
      <w:sz w:val="21"/>
      <w:szCs w:val="21"/>
      <w:lang w:val="en-US" w:eastAsia="zh-CN"/>
      <w14:ligatures w14:val="none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340871"/>
    <w:pPr>
      <w:keepNext/>
      <w:keepLines/>
      <w:adjustRightInd w:val="0"/>
      <w:snapToGrid w:val="0"/>
      <w:spacing w:before="160" w:line="240" w:lineRule="auto"/>
      <w:jc w:val="both"/>
      <w:outlineLvl w:val="2"/>
    </w:pPr>
    <w:rPr>
      <w:rFonts w:ascii="Times New Roman" w:eastAsia="Times New Roman" w:hAnsi="Times New Roman" w:cs="Times New Roman"/>
      <w:bCs/>
      <w:i/>
      <w:noProof/>
      <w:color w:val="000000"/>
      <w:kern w:val="0"/>
      <w:sz w:val="21"/>
      <w:szCs w:val="21"/>
      <w:lang w:val="en-US" w:eastAsia="zh-CN"/>
      <w14:ligatures w14:val="none"/>
    </w:rPr>
  </w:style>
  <w:style w:type="paragraph" w:styleId="4">
    <w:name w:val="heading 4"/>
    <w:basedOn w:val="a"/>
    <w:next w:val="a"/>
    <w:link w:val="40"/>
    <w:uiPriority w:val="9"/>
    <w:semiHidden/>
    <w:qFormat/>
    <w:rsid w:val="00A26F7F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qFormat/>
    <w:rsid w:val="00A26F7F"/>
    <w:pPr>
      <w:keepNext/>
      <w:keepLines/>
      <w:spacing w:before="280" w:after="290" w:line="376" w:lineRule="auto"/>
      <w:outlineLvl w:val="4"/>
    </w:pPr>
    <w:rPr>
      <w:rFonts w:eastAsia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qFormat/>
    <w:rsid w:val="00A26F7F"/>
    <w:pPr>
      <w:keepNext/>
      <w:keepLines/>
      <w:numPr>
        <w:ilvl w:val="5"/>
        <w:numId w:val="31"/>
      </w:numPr>
      <w:spacing w:before="240" w:after="64" w:line="320" w:lineRule="auto"/>
      <w:ind w:firstLine="0"/>
      <w:outlineLvl w:val="5"/>
    </w:pPr>
    <w:rPr>
      <w:rFonts w:asciiTheme="majorHAnsi" w:eastAsiaTheme="majorEastAsia" w:hAnsiTheme="majorHAnsi"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qFormat/>
    <w:rsid w:val="00A26F7F"/>
    <w:pPr>
      <w:keepNext/>
      <w:keepLines/>
      <w:numPr>
        <w:ilvl w:val="6"/>
        <w:numId w:val="31"/>
      </w:numPr>
      <w:spacing w:before="240" w:after="64" w:line="320" w:lineRule="auto"/>
      <w:ind w:firstLine="0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"/>
    <w:semiHidden/>
    <w:qFormat/>
    <w:rsid w:val="00A26F7F"/>
    <w:pPr>
      <w:keepNext/>
      <w:keepLines/>
      <w:numPr>
        <w:ilvl w:val="7"/>
        <w:numId w:val="31"/>
      </w:numPr>
      <w:spacing w:before="240" w:after="64" w:line="320" w:lineRule="auto"/>
      <w:ind w:firstLine="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0"/>
    <w:uiPriority w:val="9"/>
    <w:semiHidden/>
    <w:qFormat/>
    <w:rsid w:val="00A26F7F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340871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340871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340871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340871"/>
    <w:pPr>
      <w:adjustRightInd w:val="0"/>
      <w:snapToGrid w:val="0"/>
      <w:jc w:val="both"/>
    </w:pPr>
    <w:rPr>
      <w:rFonts w:eastAsia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Articletype">
    <w:name w:val="Article type"/>
    <w:next w:val="a"/>
    <w:qFormat/>
    <w:rsid w:val="00340871"/>
    <w:pPr>
      <w:adjustRightInd w:val="0"/>
      <w:snapToGrid w:val="0"/>
    </w:pPr>
    <w:rPr>
      <w:rFonts w:eastAsia="Times New Roman"/>
      <w:i/>
      <w:snapToGrid w:val="0"/>
      <w:color w:val="000000"/>
      <w:kern w:val="0"/>
      <w:szCs w:val="22"/>
      <w:lang w:eastAsia="de-DE" w:bidi="en-US"/>
    </w:rPr>
  </w:style>
  <w:style w:type="paragraph" w:customStyle="1" w:styleId="Authornames">
    <w:name w:val="Authornames"/>
    <w:next w:val="a"/>
    <w:uiPriority w:val="2"/>
    <w:qFormat/>
    <w:rsid w:val="00340871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340871"/>
    <w:rPr>
      <w:rFonts w:eastAsia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340871"/>
    <w:rPr>
      <w:rFonts w:eastAsia="Times New Roman"/>
      <w:b/>
      <w:bCs/>
      <w:i/>
      <w:noProof/>
      <w:color w:val="000000"/>
      <w:kern w:val="0"/>
      <w:sz w:val="21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340871"/>
    <w:rPr>
      <w:rFonts w:eastAsia="Times New Roman"/>
      <w:bCs/>
      <w:i/>
      <w:noProof/>
      <w:color w:val="000000"/>
      <w:kern w:val="0"/>
      <w:sz w:val="21"/>
      <w:szCs w:val="21"/>
    </w:rPr>
  </w:style>
  <w:style w:type="character" w:customStyle="1" w:styleId="40">
    <w:name w:val="标题 4 字符"/>
    <w:link w:val="4"/>
    <w:uiPriority w:val="9"/>
    <w:semiHidden/>
    <w:rsid w:val="00340871"/>
    <w:rPr>
      <w:rFonts w:ascii="Calibri Light" w:eastAsia="NimbusRomNo9L" w:hAnsi="Calibri Light" w:cs="NimbusRomNo9L"/>
      <w:b/>
      <w:bCs/>
      <w:kern w:val="0"/>
      <w:sz w:val="28"/>
      <w:szCs w:val="28"/>
      <w:lang w:val="en-GB" w:eastAsia="en-US"/>
      <w14:ligatures w14:val="standardContextual"/>
    </w:rPr>
  </w:style>
  <w:style w:type="character" w:customStyle="1" w:styleId="60">
    <w:name w:val="标题 6 字符"/>
    <w:basedOn w:val="a0"/>
    <w:link w:val="6"/>
    <w:uiPriority w:val="9"/>
    <w:semiHidden/>
    <w:rsid w:val="00A26F7F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A26F7F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A26F7F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A26F7F"/>
    <w:rPr>
      <w:rFonts w:asciiTheme="majorHAnsi" w:eastAsiaTheme="majorEastAsia" w:hAnsiTheme="majorHAnsi" w:cstheme="majorBidi"/>
      <w:sz w:val="21"/>
      <w:szCs w:val="21"/>
    </w:rPr>
  </w:style>
  <w:style w:type="paragraph" w:customStyle="1" w:styleId="Backmatter">
    <w:name w:val="Back matter"/>
    <w:uiPriority w:val="18"/>
    <w:qFormat/>
    <w:rsid w:val="00340871"/>
    <w:pPr>
      <w:adjustRightInd w:val="0"/>
      <w:snapToGrid w:val="0"/>
      <w:spacing w:beforeLines="50" w:before="50" w:afterLines="50" w:after="50"/>
      <w:jc w:val="both"/>
    </w:pPr>
    <w:rPr>
      <w:rFonts w:eastAsia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340871"/>
    <w:pPr>
      <w:numPr>
        <w:numId w:val="41"/>
      </w:numPr>
      <w:adjustRightInd w:val="0"/>
      <w:snapToGrid w:val="0"/>
      <w:spacing w:before="40" w:after="40"/>
      <w:ind w:hangingChars="200" w:hanging="200"/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340871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340871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340871"/>
    <w:pPr>
      <w:adjustRightInd w:val="0"/>
      <w:snapToGrid w:val="0"/>
      <w:spacing w:before="60" w:after="60"/>
      <w:ind w:left="709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340871"/>
    <w:pPr>
      <w:adjustRightInd w:val="0"/>
      <w:snapToGrid w:val="0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340871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340871"/>
    <w:pPr>
      <w:adjustRightInd w:val="0"/>
      <w:snapToGrid w:val="0"/>
      <w:spacing w:after="100" w:afterAutospacing="1"/>
      <w:jc w:val="center"/>
    </w:pPr>
    <w:rPr>
      <w:rFonts w:eastAsia="Times New Roman"/>
      <w:b/>
      <w:noProof/>
      <w:color w:val="000000"/>
      <w:kern w:val="0"/>
      <w:sz w:val="21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340871"/>
    <w:pPr>
      <w:adjustRightInd w:val="0"/>
      <w:snapToGrid w:val="0"/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340871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340871"/>
    <w:pPr>
      <w:ind w:left="200" w:hangingChars="200" w:hanging="200"/>
      <w:jc w:val="both"/>
    </w:pPr>
    <w:rPr>
      <w:rFonts w:eastAsia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340871"/>
    <w:rPr>
      <w:rFonts w:eastAsia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340871"/>
    <w:pPr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340871"/>
    <w:pPr>
      <w:adjustRightInd w:val="0"/>
      <w:snapToGrid w:val="0"/>
      <w:spacing w:beforeLines="100" w:before="100" w:afterLines="100" w:after="100"/>
      <w:jc w:val="center"/>
    </w:pPr>
    <w:rPr>
      <w:rFonts w:eastAsia="Times New Roman"/>
      <w:b/>
      <w:noProof/>
      <w:color w:val="000000"/>
      <w:kern w:val="0"/>
      <w:sz w:val="21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340871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340871"/>
    <w:pPr>
      <w:ind w:firstLineChars="200" w:firstLine="200"/>
      <w:jc w:val="both"/>
    </w:pPr>
    <w:rPr>
      <w:rFonts w:eastAsia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340871"/>
    <w:rPr>
      <w:rFonts w:eastAsia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50">
    <w:name w:val="标题 5 字符"/>
    <w:link w:val="5"/>
    <w:uiPriority w:val="9"/>
    <w:semiHidden/>
    <w:rsid w:val="00A26F7F"/>
    <w:rPr>
      <w:rFonts w:eastAsia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semiHidden/>
    <w:qFormat/>
    <w:rsid w:val="009A2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A21E7"/>
    <w:rPr>
      <w:sz w:val="18"/>
      <w:szCs w:val="18"/>
    </w:rPr>
  </w:style>
  <w:style w:type="paragraph" w:styleId="a5">
    <w:name w:val="footer"/>
    <w:basedOn w:val="a"/>
    <w:link w:val="a6"/>
    <w:uiPriority w:val="99"/>
    <w:qFormat/>
    <w:rsid w:val="009A21E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21E7"/>
    <w:rPr>
      <w:sz w:val="18"/>
      <w:szCs w:val="18"/>
    </w:rPr>
  </w:style>
  <w:style w:type="table" w:styleId="a7">
    <w:name w:val="Table Grid"/>
    <w:basedOn w:val="a1"/>
    <w:uiPriority w:val="39"/>
    <w:rsid w:val="00A058D1"/>
    <w:rPr>
      <w:rFonts w:asciiTheme="minorHAnsi" w:eastAsiaTheme="minorEastAsia" w:hAnsiTheme="minorHAnsi" w:cstheme="minorBidi"/>
      <w:sz w:val="22"/>
      <w:szCs w:val="22"/>
      <w:lang w:val="en-GB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rsid w:val="00A058D1"/>
    <w:rPr>
      <w:color w:val="0000FF"/>
      <w:u w:val="single"/>
    </w:rPr>
  </w:style>
  <w:style w:type="paragraph" w:styleId="a9">
    <w:name w:val="List Paragraph"/>
    <w:basedOn w:val="a"/>
    <w:uiPriority w:val="34"/>
    <w:semiHidden/>
    <w:qFormat/>
    <w:rsid w:val="00A058D1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A058D1"/>
    <w:rPr>
      <w:i/>
      <w:iCs/>
    </w:rPr>
  </w:style>
  <w:style w:type="character" w:customStyle="1" w:styleId="emphasistypebold">
    <w:name w:val="emphasistypebold"/>
    <w:basedOn w:val="a0"/>
    <w:semiHidden/>
    <w:rsid w:val="00A058D1"/>
  </w:style>
  <w:style w:type="paragraph" w:styleId="aa">
    <w:name w:val="Bibliography"/>
    <w:basedOn w:val="a"/>
    <w:next w:val="a"/>
    <w:uiPriority w:val="37"/>
    <w:semiHidden/>
    <w:rsid w:val="00A058D1"/>
  </w:style>
  <w:style w:type="character" w:customStyle="1" w:styleId="UnresolvedMention">
    <w:name w:val="Unresolved Mention"/>
    <w:basedOn w:val="a0"/>
    <w:uiPriority w:val="99"/>
    <w:semiHidden/>
    <w:unhideWhenUsed/>
    <w:rsid w:val="00A058D1"/>
    <w:rPr>
      <w:color w:val="605E5C"/>
      <w:shd w:val="clear" w:color="auto" w:fill="E1DFDD"/>
    </w:rPr>
  </w:style>
  <w:style w:type="character" w:styleId="ab">
    <w:name w:val="line number"/>
    <w:basedOn w:val="a0"/>
    <w:uiPriority w:val="99"/>
    <w:semiHidden/>
    <w:unhideWhenUsed/>
    <w:rsid w:val="00A058D1"/>
  </w:style>
  <w:style w:type="paragraph" w:styleId="ac">
    <w:name w:val="Revision"/>
    <w:hidden/>
    <w:uiPriority w:val="99"/>
    <w:semiHidden/>
    <w:rsid w:val="00A058D1"/>
    <w:rPr>
      <w:rFonts w:asciiTheme="minorHAnsi" w:eastAsiaTheme="minorEastAsia" w:hAnsiTheme="minorHAnsi" w:cstheme="minorBidi"/>
      <w:sz w:val="22"/>
      <w:szCs w:val="22"/>
      <w:lang w:val="en-GB" w:eastAsia="en-US"/>
      <w14:ligatures w14:val="standardContextual"/>
    </w:rPr>
  </w:style>
  <w:style w:type="character" w:customStyle="1" w:styleId="title-text">
    <w:name w:val="title-text"/>
    <w:basedOn w:val="a0"/>
    <w:semiHidden/>
    <w:rsid w:val="00A058D1"/>
  </w:style>
  <w:style w:type="character" w:styleId="ad">
    <w:name w:val="FollowedHyperlink"/>
    <w:basedOn w:val="a0"/>
    <w:uiPriority w:val="99"/>
    <w:semiHidden/>
    <w:unhideWhenUsed/>
    <w:rsid w:val="00A058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897C-E94E-432F-B954-FE4334510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18</Pages>
  <Words>3655</Words>
  <Characters>20837</Characters>
  <Application>Microsoft Office Word</Application>
  <DocSecurity>0</DocSecurity>
  <Lines>173</Lines>
  <Paragraphs>48</Paragraphs>
  <ScaleCrop>false</ScaleCrop>
  <Company/>
  <LinksUpToDate>false</LinksUpToDate>
  <CharactersWithSpaces>24444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Akira</dc:creator>
  <cp:keywords/>
  <dc:description/>
  <cp:lastModifiedBy>Akira</cp:lastModifiedBy>
  <cp:revision>14</cp:revision>
  <dcterms:created xsi:type="dcterms:W3CDTF">2024-07-29T01:22:00Z</dcterms:created>
  <dcterms:modified xsi:type="dcterms:W3CDTF">2024-07-29T05:13:00Z</dcterms:modified>
</cp:coreProperties>
</file>